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Ulangan 6:4–9 — Mengajarkannya Berulang-ulang di Rumah</w:t>
      </w:r>
    </w:p>
    <w:p>
      <w:r>
        <w:rPr>
          <w:i/>
          <w:sz w:val="24"/>
        </w:rPr>
        <w:t>Pendidikan iman yang sehari-hari: di jalan, saat berbaring, dan saat bangun.</w:t>
      </w:r>
    </w:p>
    <w:p>
      <w:r>
        <w:rPr>
          <w:color w:val="707070"/>
          <w:sz w:val="18"/>
        </w:rPr>
        <w:t>Renungan Keluarga · 21 September 2026</w:t>
      </w:r>
    </w:p>
    <w:p>
      <w:pPr>
        <w:pStyle w:val="Heading2"/>
      </w:pPr>
      <w:r>
        <w:t>Teks</w:t>
      </w:r>
    </w:p>
    <w:p>
      <w:r>
        <w:rPr>
          <w:b/>
        </w:rPr>
        <w:t>Ulangan 6:4–9 (Terjemahan Baru)</w:t>
      </w:r>
    </w:p>
    <w:p>
      <w:pPr>
        <w:spacing w:after="120"/>
        <w:ind w:left="454"/>
        <w:pBdr>
          <w:left w:val="single" w:sz="12" w:space="8" w:color="1F3A5F"/>
        </w:pBdr>
      </w:pPr>
      <w:r>
        <w:t>⁴ Dengarlah, hai orang Israel: TUHAN itu Allah kita, TUHAN itu esa!</w:t>
      </w:r>
    </w:p>
    <w:p>
      <w:pPr>
        <w:spacing w:after="120"/>
        <w:ind w:left="454"/>
        <w:pBdr>
          <w:left w:val="single" w:sz="12" w:space="8" w:color="1F3A5F"/>
        </w:pBdr>
      </w:pPr>
      <w:r>
        <w:t>⁵ Kasihilah TUHAN, Allahmu, dengan segenap hatimu dan dengan segenap jiwamu dan dengan segenap kekuatanmu.</w:t>
      </w:r>
    </w:p>
    <w:p>
      <w:pPr>
        <w:spacing w:after="120"/>
        <w:ind w:left="454"/>
        <w:pBdr>
          <w:left w:val="single" w:sz="12" w:space="8" w:color="1F3A5F"/>
        </w:pBdr>
      </w:pPr>
      <w:r>
        <w:t>⁶ Apa yang kuperintahkan kepadamu pada hari ini haruslah engkau perhatikan,</w:t>
      </w:r>
    </w:p>
    <w:p>
      <w:pPr>
        <w:spacing w:after="120"/>
        <w:ind w:left="454"/>
        <w:pBdr>
          <w:left w:val="single" w:sz="12" w:space="8" w:color="1F3A5F"/>
        </w:pBdr>
      </w:pPr>
      <w:r>
        <w:t>⁷ haruslah engkau mengajarkannya berulang-ulang kepada anak-anakmu dan membicarakannya apabila engkau duduk di rumahmu, apabila engkau sedang dalam perjalanan, apabila engkau berbaring dan apabila engkau bangun.</w:t>
      </w:r>
    </w:p>
    <w:p>
      <w:pPr>
        <w:spacing w:after="120"/>
        <w:ind w:left="454"/>
        <w:pBdr>
          <w:left w:val="single" w:sz="12" w:space="8" w:color="1F3A5F"/>
        </w:pBdr>
      </w:pPr>
      <w:r>
        <w:t>⁸ Haruslah juga engkau mengikatkannya sebagai tanda pada tanganmu dan haruslah itu menjadi lambang di dahimu,</w:t>
      </w:r>
    </w:p>
    <w:p>
      <w:pPr>
        <w:spacing w:after="120"/>
        <w:ind w:left="454"/>
        <w:pBdr>
          <w:left w:val="single" w:sz="12" w:space="8" w:color="1F3A5F"/>
        </w:pBdr>
      </w:pPr>
      <w:r>
        <w:t>⁹ dan haruslah engkau menuliskannya pada tiang pintu rumahmu dan pada pintu gerbangmu.</w:t>
      </w:r>
    </w:p>
    <w:p/>
    <w:p>
      <w:pPr>
        <w:pStyle w:val="Heading2"/>
      </w:pPr>
      <w:r>
        <w:t>Latar Belakang</w:t>
      </w:r>
    </w:p>
    <w:p>
      <w:r>
        <w:t>Ulangan adalah khotbah perpisahan Musa di dataran Moab, di tepi timur Sungai Yordan, kepada generasi kedua Israel yang akan menyeberang masuk ke Tanah Kanaan. Generasi pertama sudah mati di padang gurun. Yang berdiri di hadapan Musa adalah anak-anak yang tidak menyaksikan sendiri tulah di Mesir dan penyeberangan Laut Teberau — mereka hanya mendengarnya dari orang tua mereka.</w:t>
      </w:r>
    </w:p>
    <w:p>
      <w:r>
        <w:t xml:space="preserve">Ini menjelaskan mengapa seluruh kitab Ulangan begitu terobsesi pada satu hal: </w:t>
      </w:r>
      <w:r>
        <w:rPr>
          <w:b/>
        </w:rPr>
        <w:t>penyerahan iman dari satu generasi ke generasi berikutnya</w:t>
      </w:r>
      <w:r>
        <w:t>. Israel tidak kehilangan tanah karena kalah perang, tetapi karena lupa. Musa tahu bahaya terbesar bukan bangsa Kanaan, melainkan kemakmuran yang membuat lupa (Ul 6:10–12).</w:t>
      </w:r>
    </w:p>
    <w:p>
      <w:r>
        <w:t>Secara bentuk, Ulangan mengikuti pola perjanjian raja–vasal (</w:t>
      </w:r>
      <w:r>
        <w:rPr>
          <w:i/>
        </w:rPr>
        <w:t>suzerain-vassal treaty</w:t>
      </w:r>
      <w:r>
        <w:t xml:space="preserve">) Timur Dekat Kuno: pembukaan sejarah (ps. 1–4), ketentuan pokok (ps. 5–11), ketentuan rinci (ps. 12–26), berkat dan kutuk (ps. 27–28). Ulangan 6:4–9 berdiri tepat sesudah Dekalog (ps. 5) sebagai </w:t>
      </w:r>
      <w:r>
        <w:rPr>
          <w:b/>
        </w:rPr>
        <w:t>ringkasan dan jantung</w:t>
      </w:r>
      <w:r>
        <w:t xml:space="preserve"> dari seluruh ketentuan pokok itu. Dengan kata lain: Sepuluh Perintah diberikan di pasal 5; pasal 6 menjelaskan bagaimana perintah itu hidup — bukan lewat lembaga, tetapi lewat rumah tangga.</w:t>
      </w:r>
    </w:p>
    <w:p>
      <w:r>
        <w:t xml:space="preserve">Bagi Israel kuno, bagian ini dikenal sebagai </w:t>
      </w:r>
      <w:r>
        <w:rPr>
          <w:b/>
        </w:rPr>
        <w:t>Shema</w:t>
      </w:r>
      <w:r>
        <w:t>, diambil dari kata pertamanya. Shema menjadi pengakuan iman harian Yudaisme, diucapkan pagi dan petang sampai hari ini.</w:t>
      </w:r>
    </w:p>
    <w:p>
      <w:pPr>
        <w:pStyle w:val="Heading2"/>
      </w:pPr>
      <w:r>
        <w:t>Struktur Teks</w:t>
      </w:r>
    </w:p>
    <w:p>
      <w:r>
        <w:t>Alur enam ayat ini bergerak dari dalam ke luar — dari pengakuan, ke hati, ke rumah, lalu ke ruang publik.</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spacing w:after="40"/>
            </w:pPr>
            <w:r/>
            <w:r>
              <w:rPr>
                <w:b/>
              </w:rPr>
              <w:t>Ayat</w:t>
            </w:r>
          </w:p>
        </w:tc>
        <w:tc>
          <w:tcPr>
            <w:tcW w:type="dxa" w:w="3135"/>
          </w:tcPr>
          <w:p>
            <w:pPr>
              <w:spacing w:after="40"/>
            </w:pPr>
            <w:r/>
            <w:r>
              <w:rPr>
                <w:b/>
              </w:rPr>
              <w:t>Isi</w:t>
            </w:r>
          </w:p>
        </w:tc>
        <w:tc>
          <w:tcPr>
            <w:tcW w:type="dxa" w:w="3135"/>
          </w:tcPr>
          <w:p>
            <w:pPr>
              <w:spacing w:after="40"/>
            </w:pPr>
            <w:r/>
            <w:r>
              <w:rPr>
                <w:b/>
              </w:rPr>
              <w:t>Gerak</w:t>
            </w:r>
          </w:p>
        </w:tc>
      </w:tr>
      <w:tr>
        <w:tc>
          <w:tcPr>
            <w:tcW w:type="dxa" w:w="3135"/>
          </w:tcPr>
          <w:p>
            <w:pPr>
              <w:spacing w:after="40"/>
            </w:pPr>
            <w:r/>
            <w:r>
              <w:t>4</w:t>
            </w:r>
          </w:p>
        </w:tc>
        <w:tc>
          <w:tcPr>
            <w:tcW w:type="dxa" w:w="3135"/>
          </w:tcPr>
          <w:p>
            <w:pPr>
              <w:spacing w:after="40"/>
            </w:pPr>
            <w:r/>
            <w:r>
              <w:t>Pengakuan: TUHAN itu esa</w:t>
            </w:r>
          </w:p>
        </w:tc>
        <w:tc>
          <w:tcPr>
            <w:tcW w:type="dxa" w:w="3135"/>
          </w:tcPr>
          <w:p>
            <w:pPr>
              <w:spacing w:after="40"/>
            </w:pPr>
            <w:r/>
            <w:r>
              <w:t>Siapa Allah</w:t>
            </w:r>
          </w:p>
        </w:tc>
      </w:tr>
      <w:tr>
        <w:tc>
          <w:tcPr>
            <w:tcW w:type="dxa" w:w="3135"/>
          </w:tcPr>
          <w:p>
            <w:pPr>
              <w:spacing w:after="40"/>
            </w:pPr>
            <w:r/>
            <w:r>
              <w:t>5</w:t>
            </w:r>
          </w:p>
        </w:tc>
        <w:tc>
          <w:tcPr>
            <w:tcW w:type="dxa" w:w="3135"/>
          </w:tcPr>
          <w:p>
            <w:pPr>
              <w:spacing w:after="40"/>
            </w:pPr>
            <w:r/>
            <w:r>
              <w:t>Perintah: kasihilah Dia seutuhnya</w:t>
            </w:r>
          </w:p>
        </w:tc>
        <w:tc>
          <w:tcPr>
            <w:tcW w:type="dxa" w:w="3135"/>
          </w:tcPr>
          <w:p>
            <w:pPr>
              <w:spacing w:after="40"/>
            </w:pPr>
            <w:r/>
            <w:r>
              <w:t>Respons hati</w:t>
            </w:r>
          </w:p>
        </w:tc>
      </w:tr>
      <w:tr>
        <w:tc>
          <w:tcPr>
            <w:tcW w:type="dxa" w:w="3135"/>
          </w:tcPr>
          <w:p>
            <w:pPr>
              <w:spacing w:after="40"/>
            </w:pPr>
            <w:r/>
            <w:r>
              <w:t>6</w:t>
            </w:r>
          </w:p>
        </w:tc>
        <w:tc>
          <w:tcPr>
            <w:tcW w:type="dxa" w:w="3135"/>
          </w:tcPr>
          <w:p>
            <w:pPr>
              <w:spacing w:after="40"/>
            </w:pPr>
            <w:r/>
            <w:r>
              <w:t>Firman itu di dalam hatimu</w:t>
            </w:r>
          </w:p>
        </w:tc>
        <w:tc>
          <w:tcPr>
            <w:tcW w:type="dxa" w:w="3135"/>
          </w:tcPr>
          <w:p>
            <w:pPr>
              <w:spacing w:after="40"/>
            </w:pPr>
            <w:r/>
            <w:r>
              <w:t>Di dalam diri</w:t>
            </w:r>
          </w:p>
        </w:tc>
      </w:tr>
      <w:tr>
        <w:tc>
          <w:tcPr>
            <w:tcW w:type="dxa" w:w="3135"/>
          </w:tcPr>
          <w:p>
            <w:pPr>
              <w:spacing w:after="40"/>
            </w:pPr>
            <w:r/>
            <w:r>
              <w:t>7</w:t>
            </w:r>
          </w:p>
        </w:tc>
        <w:tc>
          <w:tcPr>
            <w:tcW w:type="dxa" w:w="3135"/>
          </w:tcPr>
          <w:p>
            <w:pPr>
              <w:spacing w:after="40"/>
            </w:pPr>
            <w:r/>
            <w:r>
              <w:t>Ajarkan berulang-ulang kepada anak</w:t>
            </w:r>
          </w:p>
        </w:tc>
        <w:tc>
          <w:tcPr>
            <w:tcW w:type="dxa" w:w="3135"/>
          </w:tcPr>
          <w:p>
            <w:pPr>
              <w:spacing w:after="40"/>
            </w:pPr>
            <w:r/>
            <w:r>
              <w:t>Ke dalam rumah</w:t>
            </w:r>
          </w:p>
        </w:tc>
      </w:tr>
      <w:tr>
        <w:tc>
          <w:tcPr>
            <w:tcW w:type="dxa" w:w="3135"/>
          </w:tcPr>
          <w:p>
            <w:pPr>
              <w:spacing w:after="40"/>
            </w:pPr>
            <w:r/>
            <w:r>
              <w:t>8</w:t>
            </w:r>
          </w:p>
        </w:tc>
        <w:tc>
          <w:tcPr>
            <w:tcW w:type="dxa" w:w="3135"/>
          </w:tcPr>
          <w:p>
            <w:pPr>
              <w:spacing w:after="40"/>
            </w:pPr>
            <w:r/>
            <w:r>
              <w:t>Tanda pada tangan dan dahi</w:t>
            </w:r>
          </w:p>
        </w:tc>
        <w:tc>
          <w:tcPr>
            <w:tcW w:type="dxa" w:w="3135"/>
          </w:tcPr>
          <w:p>
            <w:pPr>
              <w:spacing w:after="40"/>
            </w:pPr>
            <w:r/>
            <w:r>
              <w:t>Melekat pada tubuh</w:t>
            </w:r>
          </w:p>
        </w:tc>
      </w:tr>
      <w:tr>
        <w:tc>
          <w:tcPr>
            <w:tcW w:type="dxa" w:w="3135"/>
          </w:tcPr>
          <w:p>
            <w:pPr>
              <w:spacing w:after="40"/>
            </w:pPr>
            <w:r/>
            <w:r>
              <w:t>9</w:t>
            </w:r>
          </w:p>
        </w:tc>
        <w:tc>
          <w:tcPr>
            <w:tcW w:type="dxa" w:w="3135"/>
          </w:tcPr>
          <w:p>
            <w:pPr>
              <w:spacing w:after="40"/>
            </w:pPr>
            <w:r/>
            <w:r>
              <w:t>Tulisan pada tiang pintu dan gerbang</w:t>
            </w:r>
          </w:p>
        </w:tc>
        <w:tc>
          <w:tcPr>
            <w:tcW w:type="dxa" w:w="3135"/>
          </w:tcPr>
          <w:p>
            <w:pPr>
              <w:spacing w:after="40"/>
            </w:pPr>
            <w:r/>
            <w:r>
              <w:t>Ke ruang publik</w:t>
            </w:r>
          </w:p>
        </w:tc>
      </w:tr>
    </w:tbl>
    <w:p/>
    <w:p>
      <w:r>
        <w:t xml:space="preserve">Urutan ini tidak boleh dibalik. Pengajaran kepada anak (ay. 7) tidak berdiri sendiri; ia adalah </w:t>
      </w:r>
      <w:r>
        <w:rPr>
          <w:b/>
        </w:rPr>
        <w:t>luapan</w:t>
      </w:r>
      <w:r>
        <w:t xml:space="preserve"> dari firman yang lebih dahulu ada di hati orang tua (ay. 6), yang lahir dari kasih kepada Allah (ay. 5), yang berakar pada pengenalan akan siapa Allah (ay. 4).</w:t>
      </w:r>
    </w:p>
    <w:p>
      <w:r>
        <w:t xml:space="preserve">Banyak keluarga mencoba memulai dari ayat 7 — langsung ke program ibadah keluarga — tanpa ayat 5 dan 6. Hasilnya rutinitas tanpa nyawa. Anak sangat peka membedakan antara orang tua yang </w:t>
      </w:r>
      <w:r>
        <w:rPr>
          <w:b/>
        </w:rPr>
        <w:t>menyampaikan</w:t>
      </w:r>
      <w:r>
        <w:t xml:space="preserve"> iman dan orang tua yang </w:t>
      </w:r>
      <w:r>
        <w:rPr>
          <w:b/>
        </w:rPr>
        <w:t>memiliki</w:t>
      </w:r>
      <w:r>
        <w:t xml:space="preserve"> iman.</w:t>
      </w:r>
    </w:p>
    <w:p>
      <w:pPr>
        <w:pStyle w:val="Heading2"/>
      </w:pPr>
      <w:r>
        <w:t>Catatan Kata Ibrani</w:t>
      </w:r>
    </w:p>
    <w:p>
      <w:r>
        <w:rPr>
          <w:b/>
        </w:rPr>
        <w:t>Shema</w:t>
      </w:r>
      <w:r>
        <w:t xml:space="preserve"> (שְׁמַע) — "dengarlah". Dalam bahasa Ibrani, mendengar tidak berhenti di telinga. </w:t>
      </w:r>
      <w:r>
        <w:rPr>
          <w:i/>
        </w:rPr>
        <w:t>Shema</w:t>
      </w:r>
      <w:r>
        <w:t xml:space="preserve"> berarti mendengar sampai taat; kata yang sama diterjemahkan "menaati" di banyak tempat. Perintah pertama bukan "lakukanlah", tetapi "dengarlah" — iman lahir dari pendengaran.</w:t>
      </w:r>
    </w:p>
    <w:p>
      <w:r>
        <w:rPr>
          <w:b/>
        </w:rPr>
        <w:t>YHWH Elohenu YHWH echad</w:t>
      </w:r>
      <w:r>
        <w:t xml:space="preserve"> — "TUHAN Allah kita, TUHAN esa". Kalimat Ibraninya tanpa kata kerja, sehingga bisa dibaca dua cara: </w:t>
      </w:r>
      <w:r>
        <w:rPr>
          <w:i/>
        </w:rPr>
        <w:t>TUHAN itu Allah kita, TUHAN itu satu</w:t>
      </w:r>
      <w:r>
        <w:t xml:space="preserve"> (Dia satu-satunya), atau </w:t>
      </w:r>
      <w:r>
        <w:rPr>
          <w:i/>
        </w:rPr>
        <w:t>TUHAN Allah kita adalah TUHAN yang esa</w:t>
      </w:r>
      <w:r>
        <w:t xml:space="preserve"> (Dia utuh, tidak terbagi). Kata </w:t>
      </w:r>
      <w:r>
        <w:rPr>
          <w:b/>
        </w:rPr>
        <w:t>echad</w:t>
      </w:r>
      <w:r>
        <w:t xml:space="preserve"> menunjuk pada kesatuan yang utuh — kata yang sama dipakai untuk suami-istri yang menjadi "satu daging" (Kej 2:24). Di tengah Kanaan yang penuh dewa lokal — satu dewa untuk hujan, satu untuk panen, satu untuk kesuburan — pengakuan ini bersifat revolusioner: hidup Israel tidak terpecah ke banyak tuan.</w:t>
      </w:r>
    </w:p>
    <w:p>
      <w:r>
        <w:rPr>
          <w:b/>
        </w:rPr>
        <w:t>We'ahavta</w:t>
      </w:r>
      <w:r>
        <w:t xml:space="preserve"> (וְאָהַבְתָּ) — "dan kasihilah". Kasih di sini bukan sekadar perasaan, melainkan kesetiaan perjanjian: komitmen, loyalitas, ketaatan yang hangat. Kasih bisa diperintahkan karena kasih adalah pilihan yang dijalani.</w:t>
      </w:r>
    </w:p>
    <w:p>
      <w:r>
        <w:rPr>
          <w:b/>
        </w:rPr>
        <w:t>Lebab – nefesh – me'od</w:t>
      </w:r>
      <w:r>
        <w:t xml:space="preserve"> — "hati, jiwa, kekuatan". Bukan tiga bagian manusia yang terpisah, melainkan tiga cara mengatakan </w:t>
      </w:r>
      <w:r>
        <w:rPr>
          <w:i/>
        </w:rPr>
        <w:t>seluruhnya</w:t>
      </w:r>
      <w:r>
        <w:t xml:space="preserve">. </w:t>
      </w:r>
      <w:r>
        <w:rPr>
          <w:b/>
        </w:rPr>
        <w:t>Lebab</w:t>
      </w:r>
      <w:r>
        <w:t xml:space="preserve"> (hati) bagi orang Ibrani adalah pusat pikiran, kehendak, dan keputusan — bukan hanya emosi. </w:t>
      </w:r>
      <w:r>
        <w:rPr>
          <w:b/>
        </w:rPr>
        <w:t>Nefesh</w:t>
      </w:r>
      <w:r>
        <w:t xml:space="preserve"> adalah diri yang hidup, seluruh keberadaan. </w:t>
      </w:r>
      <w:r>
        <w:rPr>
          <w:b/>
        </w:rPr>
        <w:t>Me'od</w:t>
      </w:r>
      <w:r>
        <w:t xml:space="preserve"> secara harfiah berarti "sangat" — kelebihanmu, kapasitasmu, sumber dayamu; tradisi Yahudi membacanya termasuk harta milik.</w:t>
      </w:r>
    </w:p>
    <w:p>
      <w:r>
        <w:rPr>
          <w:b/>
        </w:rPr>
        <w:t>Shinnantam</w:t>
      </w:r>
      <w:r>
        <w:t xml:space="preserve"> (שִׁנַּנְתָּם) — "mengajarkan berulang-ulang". Akar katanya, </w:t>
      </w:r>
      <w:r>
        <w:rPr>
          <w:i/>
        </w:rPr>
        <w:t>shanan</w:t>
      </w:r>
      <w:r>
        <w:t xml:space="preserve">, berarti </w:t>
      </w:r>
      <w:r>
        <w:rPr>
          <w:b/>
        </w:rPr>
        <w:t>mengasah</w:t>
      </w:r>
      <w:r>
        <w:t xml:space="preserve"> — dipakai untuk menajamkan pedang atau anak panah. Bukan menuangkan informasi, tetapi mengasah: gerakan yang sama, diulang, sabar, sedikit demi sedikit, sampai tajam. Bentuk intensifnya menyiratkan pengulangan yang tekun. Inilah kata kunci seluruh perikop ini.</w:t>
      </w:r>
    </w:p>
    <w:p>
      <w:r>
        <w:rPr>
          <w:b/>
        </w:rPr>
        <w:t>Totafot</w:t>
      </w:r>
      <w:r>
        <w:t xml:space="preserve"> (טוֹטָפֹת) — "lambang di dahi". Kata yang jarang dan sulit; belakangan dipahami sebagai </w:t>
      </w:r>
      <w:r>
        <w:rPr>
          <w:i/>
        </w:rPr>
        <w:t>tefillin</w:t>
      </w:r>
      <w:r>
        <w:t xml:space="preserve">, kotak kecil berisi gulungan ayat yang diikat saat berdoa. </w:t>
      </w:r>
      <w:r>
        <w:rPr>
          <w:b/>
        </w:rPr>
        <w:t>Mezuzot</w:t>
      </w:r>
      <w:r>
        <w:t xml:space="preserve"> (מְזוּזוֹת) — "tiang pintu". Dari sinilah kebiasaan </w:t>
      </w:r>
      <w:r>
        <w:rPr>
          <w:i/>
        </w:rPr>
        <w:t>mezuzah</w:t>
      </w:r>
      <w:r>
        <w:t>, wadah kecil berisi teks Shema yang dipasang pada kusen pintu rumah Yahudi.</w:t>
      </w:r>
    </w:p>
    <w:p>
      <w:r>
        <w:t xml:space="preserve">Apakah ayat 8–9 harus dipahami harfiah atau kiasan masih diperdebatkan. Namun maksudnya jelas ke satu arah: firman itu harus </w:t>
      </w:r>
      <w:r>
        <w:rPr>
          <w:b/>
        </w:rPr>
        <w:t>terlihat</w:t>
      </w:r>
      <w:r>
        <w:t xml:space="preserve"> — melekat pada apa yang kaukerjakan (tangan), pada apa yang kaupandang dan kaupikirkan (dahi), pada tempat kaupulang (pintu rumah), dan pada caramu berurusan dengan orang lain (gerbang kota, tempat urusan hukum dan dagang diselesaikan).</w:t>
      </w:r>
    </w:p>
    <w:p>
      <w:pPr>
        <w:pStyle w:val="Heading2"/>
      </w:pPr>
      <w:r>
        <w:t>Tafsiran Ayat per Ayat</w:t>
      </w:r>
    </w:p>
    <w:p>
      <w:pPr>
        <w:pStyle w:val="Heading3"/>
      </w:pPr>
      <w:r>
        <w:t>Ayat 4 — "Dengarlah, hai orang Israel: TUHAN itu Allah kita, TUHAN itu esa!"</w:t>
      </w:r>
    </w:p>
    <w:p>
      <w:r>
        <w:t xml:space="preserve">Segala sesuatu dimulai dari sini. Sebelum ada perintah untuk mengasihi atau mengajar, ada pernyataan tentang </w:t>
      </w:r>
      <w:r>
        <w:rPr>
          <w:b/>
        </w:rPr>
        <w:t>siapa Allah</w:t>
      </w:r>
      <w:r>
        <w:t xml:space="preserve">. Perhatikan kata "kita" — </w:t>
      </w:r>
      <w:r>
        <w:rPr>
          <w:i/>
        </w:rPr>
        <w:t>Elohenu</w:t>
      </w:r>
      <w:r>
        <w:t>. Ini bukan teologi umum, melainkan iman yang dimiliki bersama sebagai umat. Bagi keluarga, ini berarti: yang diwariskan bukan sekadar nilai moral atau tradisi, melainkan Pribadi yang kita kenal bersama.</w:t>
      </w:r>
    </w:p>
    <w:p>
      <w:pPr>
        <w:pStyle w:val="Heading3"/>
      </w:pPr>
      <w:r>
        <w:t>Ayat 5 — "Kasihilah TUHAN, Allahmu, dengan segenap hatimu..."</w:t>
      </w:r>
    </w:p>
    <w:p>
      <w:r>
        <w:t>Respons yang pantas terhadap Allah yang esa adalah kasih yang tidak terbagi. Allah yang satu menuntut hati yang satu. Tuhan Yesus menyebut ayat ini sebagai hukum yang terutama dan pertama (Mat 22:37–38; Mrk 12:29–30 bahkan mengutip ayat 4 sekaligus). Yang diminta bukan kesempurnaan, melainkan keutuhan — tidak ada bagian hidup yang disimpan di luar jangkauan-Nya.</w:t>
      </w:r>
    </w:p>
    <w:p>
      <w:pPr>
        <w:pStyle w:val="Heading3"/>
      </w:pPr>
      <w:r>
        <w:t>Ayat 6 — "Apa yang kuperintahkan... haruslah engkau perhatikan"</w:t>
      </w:r>
    </w:p>
    <w:p>
      <w:r>
        <w:t xml:space="preserve">Harfiahnya: </w:t>
      </w:r>
      <w:r>
        <w:rPr>
          <w:i/>
        </w:rPr>
        <w:t>hendaklah firman ini ada di atas hatimu</w:t>
      </w:r>
      <w:r>
        <w:t xml:space="preserve">. Para rabi punya penjelasan yang indah: firman diletakkan </w:t>
      </w:r>
      <w:r>
        <w:rPr>
          <w:b/>
        </w:rPr>
        <w:t>di atas</w:t>
      </w:r>
      <w:r>
        <w:t xml:space="preserve"> hati, sehingga ketika hati suatu saat terbuka — dalam sukacita atau dalam patah hati — firman itu jatuh ke dalam. Ini ayat untuk orang tua, bukan untuk anak. Sebelum Anda mengajar, Anda harus lebih dahulu menyimpan.</w:t>
      </w:r>
    </w:p>
    <w:p>
      <w:pPr>
        <w:pStyle w:val="Heading3"/>
      </w:pPr>
      <w:r>
        <w:t>Ayat 7 — "haruslah engkau mengajarkannya berulang-ulang kepada anak-anakmu"</w:t>
      </w:r>
    </w:p>
    <w:p>
      <w:r>
        <w:t xml:space="preserve">Jantung perikop. Dua kata kerja: </w:t>
      </w:r>
      <w:r>
        <w:rPr>
          <w:i/>
        </w:rPr>
        <w:t>mengajarkan berulang-ulang</w:t>
      </w:r>
      <w:r>
        <w:t xml:space="preserve"> (mengasah) dan </w:t>
      </w:r>
      <w:r>
        <w:rPr>
          <w:i/>
        </w:rPr>
        <w:t>membicarakannya</w:t>
      </w:r>
      <w:r>
        <w:t xml:space="preserve"> — percakapan biasa, bukan kuliah. Lalu empat keadaan yang bersama-sama mencakup </w:t>
      </w:r>
      <w:r>
        <w:rPr>
          <w:b/>
        </w:rPr>
        <w:t>seluruh hari</w:t>
      </w:r>
      <w:r>
        <w:t>:</w:t>
      </w:r>
    </w:p>
    <w:p>
      <w:pPr>
        <w:pStyle w:val="ListBullet"/>
        <w:spacing w:after="60"/>
      </w:pPr>
      <w:r>
        <w:rPr>
          <w:b/>
        </w:rPr>
        <w:t>duduk di rumah</w:t>
      </w:r>
      <w:r>
        <w:t xml:space="preserve"> — waktu tenang, makan bersama, santai</w:t>
      </w:r>
    </w:p>
    <w:p>
      <w:pPr>
        <w:pStyle w:val="ListBullet"/>
        <w:spacing w:after="60"/>
      </w:pPr>
      <w:r>
        <w:rPr>
          <w:b/>
        </w:rPr>
        <w:t>dalam perjalanan</w:t>
      </w:r>
      <w:r>
        <w:t xml:space="preserve"> — waktu sibuk, di mobil, di jalan ke sekolah</w:t>
      </w:r>
    </w:p>
    <w:p>
      <w:pPr>
        <w:pStyle w:val="ListBullet"/>
        <w:spacing w:after="60"/>
      </w:pPr>
      <w:r>
        <w:rPr>
          <w:b/>
        </w:rPr>
        <w:t>berbaring</w:t>
      </w:r>
      <w:r>
        <w:t xml:space="preserve"> — akhir hari, saat lelah dan jujur</w:t>
      </w:r>
    </w:p>
    <w:p>
      <w:pPr>
        <w:pStyle w:val="ListBullet"/>
        <w:spacing w:after="60"/>
      </w:pPr>
      <w:r>
        <w:rPr>
          <w:b/>
        </w:rPr>
        <w:t>bangun</w:t>
      </w:r>
      <w:r>
        <w:t xml:space="preserve"> — awal hari, saat menata arah</w:t>
      </w:r>
    </w:p>
    <w:p>
      <w:r>
        <w:t>Pola ini menolak pemisahan antara "waktu rohani" dan "waktu biasa". Pendidikan iman tidak terjadi di satu jam khusus per minggu, tetapi di sela-sela kehidupan yang biasa. Yang dituntut bukan orang tua yang pandai berkhotbah, tetapi orang tua yang hadir dan mau bercakap-cakap.</w:t>
      </w:r>
    </w:p>
    <w:p>
      <w:pPr>
        <w:pStyle w:val="Heading3"/>
      </w:pPr>
      <w:r>
        <w:t>Ayat 8–9 — tanda pada tubuh, tulisan pada rumah</w:t>
      </w:r>
    </w:p>
    <w:p>
      <w:r>
        <w:t xml:space="preserve">Firman harus menjadi sesuatu yang </w:t>
      </w:r>
      <w:r>
        <w:rPr>
          <w:b/>
        </w:rPr>
        <w:t>kelihatan</w:t>
      </w:r>
      <w:r>
        <w:t xml:space="preserve"> dan </w:t>
      </w:r>
      <w:r>
        <w:rPr>
          <w:b/>
        </w:rPr>
        <w:t>konkret</w:t>
      </w:r>
      <w:r>
        <w:t>, bukan sekadar disimpan dalam batin. Tangan menunjuk pada pekerjaan, dahi pada pikiran, tiang pintu pada kehidupan rumah tangga, gerbang pada kehidupan bermasyarakat. Tidak ada wilayah hidup yang dikecualikan. Rumah Israel harus dapat dikenali dari luar sebagai rumah yang tunduk pada TUHAN — dan pertanyaannya bagi kita: apakah rumah kita menunjukkan sesuatu tentang siapa yang kita sembah?</w:t>
      </w:r>
    </w:p>
    <w:p>
      <w:pPr>
        <w:pStyle w:val="Heading2"/>
      </w:pPr>
      <w:r>
        <w:t>Pokok Renungan</w:t>
      </w:r>
    </w:p>
    <w:p>
      <w:pPr>
        <w:pStyle w:val="Heading3"/>
      </w:pPr>
      <w:r>
        <w:t>1. Iman keluarga berakar pada siapa Allah, bukan pada aturan rumah</w:t>
      </w:r>
    </w:p>
    <w:p>
      <w:r>
        <w:t>Musa tidak memulai dengan daftar peraturan, tetapi dengan pengakuan: TUHAN itu esa. Banyak keluarga Kristen mewariskan kebiasaan — ke gereja, berdoa sebelum makan, tidak berkata kasar — tanpa pernah mewariskan pengenalan akan Allah yang hidup. Kebiasaan bisa bertahan sampai anak meninggalkan rumah, lalu runtuh, karena tidak pernah berakar pada apa pun. Yang perlu anak kita dengar bukan terutama "begini aturan keluarga kita", melainkan "inilah Allah kita".</w:t>
      </w:r>
    </w:p>
    <w:p>
      <w:pPr>
        <w:pStyle w:val="Heading3"/>
      </w:pPr>
      <w:r>
        <w:t>2. Kasih yang utuh mendahului pengajaran</w:t>
      </w:r>
    </w:p>
    <w:p>
      <w:r>
        <w:t xml:space="preserve">Ayat 6 mendahului ayat 7, dan ini bukan kebetulan. Orang tua tidak bisa mengasah anaknya dengan firman yang tidak ada di hatinya sendiri. Anak belajar jauh lebih banyak dari apa yang mereka </w:t>
      </w:r>
      <w:r>
        <w:rPr>
          <w:b/>
        </w:rPr>
        <w:t>lihat</w:t>
      </w:r>
      <w:r>
        <w:t xml:space="preserve"> kita kasihi daripada dari apa yang kita </w:t>
      </w:r>
      <w:r>
        <w:rPr>
          <w:b/>
        </w:rPr>
        <w:t>katakan</w:t>
      </w:r>
      <w:r>
        <w:t xml:space="preserve"> mereka harus kasihi. Pertanyaannya bukan "apakah saya cukup rajin mengajar anak?" tetapi lebih dahulu "apakah firman itu sedang ada di atas hati saya?"</w:t>
      </w:r>
    </w:p>
    <w:p>
      <w:r>
        <w:t>Ini sekaligus menghibur. Anda tidak perlu menjadi ahli teologi untuk mendidik anak dalam iman. Anda perlu menjadi orang yang sungguh mengasihi Allah dan tidak menyembunyikannya di depan anak-anak — termasuk saat Anda bergumul, ragu, atau gagal.</w:t>
      </w:r>
    </w:p>
    <w:p>
      <w:pPr>
        <w:pStyle w:val="Heading3"/>
      </w:pPr>
      <w:r>
        <w:t>3. Pengulangan dalam hidup yang biasa adalah metodenya</w:t>
      </w:r>
    </w:p>
    <w:p>
      <w:r>
        <w:rPr>
          <w:i/>
        </w:rPr>
        <w:t>Shinnantam</w:t>
      </w:r>
      <w:r>
        <w:t xml:space="preserve"> — mengasah. Pedang tidak tajam dalam satu gesekan. Tidak ada satu percakapan yang akan menentukan iman anak Anda; yang membentuk adalah ribuan percakapan kecil selama bertahun-tahun. Ini melegakan sekaligus menuntut. Melegakan, karena tidak ada satu kesempatan yang hilang total. Menuntut, karena tidak ada jalan pintas — tidak ada satu seminar, satu buku, atau satu retret yang bisa menggantikan kehadiran harian.</w:t>
      </w:r>
    </w:p>
    <w:p>
      <w:r>
        <w:t>Dan tempat pengasahan itu adalah tempat yang paling biasa: meja makan, perjalanan ke sekolah, waktu menjelang tidur. Bukan panggung. Justru di momen biasa itulah anak melihat apakah iman kita nyata atau hanya pakaian hari Minggu.</w:t>
      </w:r>
    </w:p>
    <w:p>
      <w:pPr>
        <w:pStyle w:val="Heading2"/>
      </w:pPr>
      <w:r>
        <w:t>Penerapan di Rumah</w:t>
      </w:r>
    </w:p>
    <w:p>
      <w:r>
        <w:t>Ayat 7 memberi empat momen. Berikut bentuk konkretnya di rumah masa kini.</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spacing w:after="40"/>
            </w:pPr>
            <w:r/>
            <w:r>
              <w:rPr>
                <w:b/>
              </w:rPr>
              <w:t>Momen dalam teks</w:t>
            </w:r>
          </w:p>
        </w:tc>
        <w:tc>
          <w:tcPr>
            <w:tcW w:type="dxa" w:w="3135"/>
          </w:tcPr>
          <w:p>
            <w:pPr>
              <w:spacing w:after="40"/>
            </w:pPr>
            <w:r/>
            <w:r>
              <w:rPr>
                <w:b/>
              </w:rPr>
              <w:t>Waktu kita</w:t>
            </w:r>
          </w:p>
        </w:tc>
        <w:tc>
          <w:tcPr>
            <w:tcW w:type="dxa" w:w="3135"/>
          </w:tcPr>
          <w:p>
            <w:pPr>
              <w:spacing w:after="40"/>
            </w:pPr>
            <w:r/>
            <w:r>
              <w:rPr>
                <w:b/>
              </w:rPr>
              <w:t>Bentuk praktis</w:t>
            </w:r>
          </w:p>
        </w:tc>
      </w:tr>
      <w:tr>
        <w:tc>
          <w:tcPr>
            <w:tcW w:type="dxa" w:w="3135"/>
          </w:tcPr>
          <w:p>
            <w:pPr>
              <w:spacing w:after="40"/>
            </w:pPr>
            <w:r/>
            <w:r>
              <w:t>Duduk di rumah</w:t>
            </w:r>
          </w:p>
        </w:tc>
        <w:tc>
          <w:tcPr>
            <w:tcW w:type="dxa" w:w="3135"/>
          </w:tcPr>
          <w:p>
            <w:pPr>
              <w:spacing w:after="40"/>
            </w:pPr>
            <w:r/>
            <w:r>
              <w:t>Makan bersama</w:t>
            </w:r>
          </w:p>
        </w:tc>
        <w:tc>
          <w:tcPr>
            <w:tcW w:type="dxa" w:w="3135"/>
          </w:tcPr>
          <w:p>
            <w:pPr>
              <w:spacing w:after="40"/>
            </w:pPr>
            <w:r/>
            <w:r>
              <w:t>Satu ayat dibaca, satu pertanyaan ringan, tanpa ceramah</w:t>
            </w:r>
          </w:p>
        </w:tc>
      </w:tr>
      <w:tr>
        <w:tc>
          <w:tcPr>
            <w:tcW w:type="dxa" w:w="3135"/>
          </w:tcPr>
          <w:p>
            <w:pPr>
              <w:spacing w:after="40"/>
            </w:pPr>
            <w:r/>
            <w:r>
              <w:t>Dalam perjalanan</w:t>
            </w:r>
          </w:p>
        </w:tc>
        <w:tc>
          <w:tcPr>
            <w:tcW w:type="dxa" w:w="3135"/>
          </w:tcPr>
          <w:p>
            <w:pPr>
              <w:spacing w:after="40"/>
            </w:pPr>
            <w:r/>
            <w:r>
              <w:t>Di mobil/motor, antar sekolah</w:t>
            </w:r>
          </w:p>
        </w:tc>
        <w:tc>
          <w:tcPr>
            <w:tcW w:type="dxa" w:w="3135"/>
          </w:tcPr>
          <w:p>
            <w:pPr>
              <w:spacing w:after="40"/>
            </w:pPr>
            <w:r/>
            <w:r>
              <w:t>Doakan hal yang akan dihadapi hari itu; bahas apa yang terjadi di jalan</w:t>
            </w:r>
          </w:p>
        </w:tc>
      </w:tr>
      <w:tr>
        <w:tc>
          <w:tcPr>
            <w:tcW w:type="dxa" w:w="3135"/>
          </w:tcPr>
          <w:p>
            <w:pPr>
              <w:spacing w:after="40"/>
            </w:pPr>
            <w:r/>
            <w:r>
              <w:t>Berbaring</w:t>
            </w:r>
          </w:p>
        </w:tc>
        <w:tc>
          <w:tcPr>
            <w:tcW w:type="dxa" w:w="3135"/>
          </w:tcPr>
          <w:p>
            <w:pPr>
              <w:spacing w:after="40"/>
            </w:pPr>
            <w:r/>
            <w:r>
              <w:t>Menjelang tidur</w:t>
            </w:r>
          </w:p>
        </w:tc>
        <w:tc>
          <w:tcPr>
            <w:tcW w:type="dxa" w:w="3135"/>
          </w:tcPr>
          <w:p>
            <w:pPr>
              <w:spacing w:after="40"/>
            </w:pPr>
            <w:r/>
            <w:r>
              <w:t>Doa singkat bersama, tanya: hal apa yang kamu syukuri hari ini?</w:t>
            </w:r>
          </w:p>
        </w:tc>
      </w:tr>
      <w:tr>
        <w:tc>
          <w:tcPr>
            <w:tcW w:type="dxa" w:w="3135"/>
          </w:tcPr>
          <w:p>
            <w:pPr>
              <w:spacing w:after="40"/>
            </w:pPr>
            <w:r/>
            <w:r>
              <w:t>Bangun</w:t>
            </w:r>
          </w:p>
        </w:tc>
        <w:tc>
          <w:tcPr>
            <w:tcW w:type="dxa" w:w="3135"/>
          </w:tcPr>
          <w:p>
            <w:pPr>
              <w:spacing w:after="40"/>
            </w:pPr>
            <w:r/>
            <w:r>
              <w:t>Pagi sebelum berpisah</w:t>
            </w:r>
          </w:p>
        </w:tc>
        <w:tc>
          <w:tcPr>
            <w:tcW w:type="dxa" w:w="3135"/>
          </w:tcPr>
          <w:p>
            <w:pPr>
              <w:spacing w:after="40"/>
            </w:pPr>
            <w:r/>
            <w:r>
              <w:t>Satu kalimat berkat atau ayat untuk dibawa hari itu</w:t>
            </w:r>
          </w:p>
        </w:tc>
      </w:tr>
    </w:tbl>
    <w:p/>
    <w:p>
      <w:pPr>
        <w:pStyle w:val="Heading3"/>
      </w:pPr>
      <w:r>
        <w:t>Ritme yang realistis</w:t>
      </w:r>
    </w:p>
    <w:p>
      <w:r>
        <w:t xml:space="preserve">Jangan mulai dari empat sekaligus. Pilih </w:t>
      </w:r>
      <w:r>
        <w:rPr>
          <w:b/>
        </w:rPr>
        <w:t>satu</w:t>
      </w:r>
      <w:r>
        <w:t xml:space="preserve"> momen yang paling mungkin dijaga selama tiga bulan — biasanya makan malam atau waktu menjelang tidur — dan lakukan itu dengan setia. Lima belas menit yang konsisten mengalahkan satu jam yang batal terus.</w:t>
      </w:r>
    </w:p>
    <w:p>
      <w:r>
        <w:t>Bentuk sederhana untuk 10–15 menit: baca satu perikop pendek, tanyakan "apa yang kamu tangkap?", orang tua menambahkan satu kalimat, lalu doa bergiliran. Itu saja sudah cukup.</w:t>
      </w:r>
    </w:p>
    <w:p>
      <w:pPr>
        <w:pStyle w:val="Heading3"/>
      </w:pPr>
      <w:r>
        <w:t>Peran ayah dan ibu</w:t>
      </w:r>
    </w:p>
    <w:p>
      <w:r>
        <w:t>Dalam Ulangan, perintah ini ditujukan kepada orang tua secara langsung — bukan kepada imam, bukan kepada lembaga. Gereja dan sekolah minggu membantu, tetapi tidak menggantikan. Ayah secara khusus dipanggil memimpin (bdk. Ef 6:4), namun bukan berarti ibu hanya pendamping; Amsal berulang kali menyebut "ajaran ibumu" sejajar dengan didikan ayah (Ams 1:8; 6:20).</w:t>
      </w:r>
    </w:p>
    <w:p>
      <w:r>
        <w:t>Jika hanya satu orang tua yang seiman, atau jika Anda merasa terlambat memulai — mulailah tetap. Pengasahan bisa dimulai pada umur berapa pun.</w:t>
      </w:r>
    </w:p>
    <w:p>
      <w:pPr>
        <w:pStyle w:val="Heading3"/>
      </w:pPr>
      <w:r>
        <w:t>Tanda yang terlihat</w:t>
      </w:r>
    </w:p>
    <w:p>
      <w:r>
        <w:t>Ayat 8–9 mengundang kita bertanya: apa yang menandai rumah ini sebagai rumah yang mengasihi TUHAN? Bisa berupa ayat yang tertempel di tempat yang terlihat. Tetapi tanda yang paling kuat lebih dari itu: cara kita meminta maaf kepada anak ketika salah, cara kita berbicara tentang orang yang menyakiti kita, cara kita memperlakukan uang, cara kita menerima tamu. Itulah "tulisan pada tiang pintu" yang benar-benar dibaca anak-anak setiap hari.</w:t>
      </w:r>
    </w:p>
    <w:p>
      <w:pPr>
        <w:pStyle w:val="Heading3"/>
      </w:pPr>
      <w:r>
        <w:t>Satu peringatan</w:t>
      </w:r>
    </w:p>
    <w:p>
      <w:r>
        <w:t xml:space="preserve">Bagian setelah perikop ini (Ul 6:10–12) memberi peringatan: bahaya datang justru ketika hidup sudah nyaman — rumah yang penuh, sumur yang sudah digali, kebun yang sudah berbuah. Di situlah orang lupa. Keluarga yang sibuk dan berkecukupan sering kali bukan kehilangan iman karena tekanan, melainkan karena </w:t>
      </w:r>
      <w:r>
        <w:rPr>
          <w:b/>
        </w:rPr>
        <w:t>kepenuhan jadwal</w:t>
      </w:r>
      <w:r>
        <w:t>. Mengasah butuh waktu yang dilindungi dengan sengaja.</w:t>
      </w:r>
    </w:p>
    <w:p>
      <w:pPr>
        <w:pStyle w:val="Heading2"/>
      </w:pPr>
      <w:r>
        <w:t>Pertanyaan Diskusi</w:t>
      </w:r>
    </w:p>
    <w:p>
      <w:pPr>
        <w:pStyle w:val="Heading3"/>
      </w:pPr>
      <w:r>
        <w:t>Untuk orang dewasa</w:t>
      </w:r>
    </w:p>
    <w:p>
      <w:pPr>
        <w:pStyle w:val="ListNumber"/>
        <w:spacing w:after="60"/>
      </w:pPr>
      <w:r>
        <w:t xml:space="preserve">Ayat 6 mendahului ayat 7. Jujur saja: saat ini firman lebih sering menjadi </w:t>
      </w:r>
      <w:r>
        <w:rPr>
          <w:b/>
        </w:rPr>
        <w:t>bahan yang saya ajarkan</w:t>
      </w:r>
      <w:r>
        <w:t xml:space="preserve"> atau </w:t>
      </w:r>
      <w:r>
        <w:rPr>
          <w:b/>
        </w:rPr>
        <w:t>makanan yang saya makan sendiri</w:t>
      </w:r>
      <w:r>
        <w:t>?</w:t>
      </w:r>
    </w:p>
    <w:p>
      <w:pPr>
        <w:pStyle w:val="ListNumber"/>
        <w:spacing w:after="60"/>
      </w:pPr>
      <w:r>
        <w:t>Dari empat momen di ayat 7 — duduk di rumah, dalam perjalanan, berbaring, bangun — mana yang sudah berjalan di keluarga kita, dan mana yang paling mungkin ditambahkan mulai minggu ini?</w:t>
      </w:r>
    </w:p>
    <w:p>
      <w:pPr>
        <w:pStyle w:val="ListNumber"/>
        <w:spacing w:after="60"/>
      </w:pPr>
      <w:r>
        <w:t>Apa yang diwariskan orang tua kepada saya soal iman? Apa yang ingin saya teruskan, dan apa yang ingin saya perbaiki?</w:t>
      </w:r>
    </w:p>
    <w:p>
      <w:pPr>
        <w:pStyle w:val="ListNumber"/>
        <w:spacing w:after="60"/>
      </w:pPr>
      <w:r>
        <w:t>"Segenap hati, jiwa, dan kekuatan" — adakah satu bagian hidup saya (waktu, uang, pekerjaan, ambisi) yang selama ini saya simpan di luar jangkauan Tuhan?</w:t>
      </w:r>
    </w:p>
    <w:p>
      <w:pPr>
        <w:pStyle w:val="ListNumber"/>
        <w:spacing w:after="60"/>
      </w:pPr>
      <w:r>
        <w:t>Apa yang akan dikatakan anak-anak kita tentang apa yang paling kita kasihi, jika mereka menilai hanya dari cara kita memakai waktu sepekan terakhir?</w:t>
      </w:r>
    </w:p>
    <w:p>
      <w:pPr>
        <w:pStyle w:val="Heading3"/>
      </w:pPr>
      <w:r>
        <w:t>Untuk anak-anak</w:t>
      </w:r>
    </w:p>
    <w:p>
      <w:pPr>
        <w:pStyle w:val="ListNumber"/>
        <w:spacing w:after="60"/>
      </w:pPr>
      <w:r>
        <w:t>Apa hal yang paling sering Papa/Mama bicarakan di rumah? Menurutmu itu menunjukkan apa?</w:t>
      </w:r>
    </w:p>
    <w:p>
      <w:pPr>
        <w:pStyle w:val="ListNumber"/>
        <w:spacing w:after="60"/>
      </w:pPr>
      <w:r>
        <w:t>Kalau kamu harus menjelaskan kepada temanmu siapa Tuhan itu, kamu akan bilang apa?</w:t>
      </w:r>
    </w:p>
    <w:p>
      <w:pPr>
        <w:pStyle w:val="ListNumber"/>
        <w:spacing w:after="60"/>
      </w:pPr>
      <w:r>
        <w:t>"Mengasah" itu seperti menajamkan pisau — pelan-pelan dan berulang-ulang. Menurutmu, kenapa Tuhan minta firman-Nya diajarkan berulang-ulang, bukan sekali saja?</w:t>
      </w:r>
    </w:p>
    <w:p>
      <w:pPr>
        <w:pStyle w:val="ListNumber"/>
        <w:spacing w:after="60"/>
      </w:pPr>
      <w:r>
        <w:t>Kapan waktu yang paling kamu suka untuk ngobrol dengan Papa/Mama?</w:t>
      </w:r>
    </w:p>
    <w:p>
      <w:pPr>
        <w:pStyle w:val="ListNumber"/>
        <w:spacing w:after="60"/>
      </w:pPr>
      <w:r>
        <w:t>Ada satu hal yang ingin kamu doakan bersama keluarga malam ini?</w:t>
      </w:r>
    </w:p>
    <w:p>
      <w:pPr>
        <w:pStyle w:val="Heading2"/>
      </w:pPr>
      <w:r>
        <w:t>Doa Penutup</w:t>
      </w:r>
    </w:p>
    <w:p>
      <w:r>
        <w:t>Ya TUHAN, Allah kami, Engkau esa. Tidak ada yang lain di samping Engkau, dan tidak ada bagian hidup kami yang berada di luar kuasa-Mu.</w:t>
      </w:r>
    </w:p>
    <w:p>
      <w:r>
        <w:t>Ampunilah kami bila kami lebih sibuk mengatur rumah ini daripada mengasihi Engkau. Ampunilah bila anak-anak kami lebih banyak mendengar suara kami yang menuntut daripada melihat hati kami yang mengasihi Engkau.</w:t>
      </w:r>
    </w:p>
    <w:p>
      <w:r>
        <w:t>Taruhlah firman-Mu di atas hati kami lebih dahulu, supaya dari sana ia mengalir kepada anak-anak kami. Ajarlah kami mengasah dengan sabar — di meja makan, di perjalanan, menjelang tidur, dan saat bangun. Berikan kami ketekunan untuk hal-hal kecil yang tidak terlihat hasilnya hari ini.</w:t>
      </w:r>
    </w:p>
    <w:p>
      <w:r>
        <w:t>Jadikanlah rumah kami rumah yang menunjukkan kepada siapa kami menyembah, bukan hanya lewat tulisan di dinding, tetapi lewat cara kami mengampuni, berbicara, dan melayani satu sama lain.</w:t>
      </w:r>
    </w:p>
    <w:p>
      <w:r>
        <w:t>Dan bila kelak kami sudah tidak ada, biarlah anak-anak kami tetap mengenal Engkau — bukan sebagai kebiasaan warisan, melainkan sebagai Allah mereka sendiri.</w:t>
      </w:r>
    </w:p>
    <w:p>
      <w:r>
        <w:t>Dalam nama Tuhan Yesus kami berdoa. Amin.</w:t>
      </w:r>
    </w:p>
    <w:p>
      <w:pPr>
        <w:pStyle w:val="Heading2"/>
      </w:pPr>
      <w:r>
        <w:t>Referensi Silang</w:t>
      </w:r>
    </w:p>
    <w:p>
      <w:r>
        <w:rPr>
          <w:b/>
        </w:rPr>
        <w:t>Dalam kitab Ulangan sendiri</w:t>
      </w:r>
    </w:p>
    <w:p>
      <w:pPr>
        <w:pStyle w:val="ListBullet"/>
        <w:spacing w:after="60"/>
      </w:pPr>
      <w:r>
        <w:t>Ul 4:9 — "beritahukanlah kepada anak-anakmu dan kepada cucu-cucumu"</w:t>
      </w:r>
    </w:p>
    <w:p>
      <w:pPr>
        <w:pStyle w:val="ListBullet"/>
        <w:spacing w:after="60"/>
      </w:pPr>
      <w:r>
        <w:t>Ul 6:10–12 — peringatan tentang lupa di tengah kemakmuran</w:t>
      </w:r>
    </w:p>
    <w:p>
      <w:pPr>
        <w:pStyle w:val="ListBullet"/>
        <w:spacing w:after="60"/>
      </w:pPr>
      <w:r>
        <w:t>Ul 6:20–25 — ketika anak bertanya "apa artinya?", jawablah dengan cerita penebusan</w:t>
      </w:r>
    </w:p>
    <w:p>
      <w:pPr>
        <w:pStyle w:val="ListBullet"/>
        <w:spacing w:after="60"/>
      </w:pPr>
      <w:r>
        <w:t>Ul 11:18–21 — pengulangan hampir kata demi kata dari 6:6–9</w:t>
      </w:r>
    </w:p>
    <w:p>
      <w:pPr>
        <w:pStyle w:val="ListBullet"/>
        <w:spacing w:after="60"/>
      </w:pPr>
      <w:r>
        <w:t>Ul 32:46 — "perhatikanlah segala perkataan... supaya kamu memerintahkannya kepada anak-anakmu"</w:t>
      </w:r>
    </w:p>
    <w:p>
      <w:r>
        <w:rPr>
          <w:b/>
        </w:rPr>
        <w:t>Perjanjian Lama lainnya</w:t>
      </w:r>
    </w:p>
    <w:p>
      <w:pPr>
        <w:pStyle w:val="ListBullet"/>
        <w:spacing w:after="60"/>
      </w:pPr>
      <w:r>
        <w:t>Mzm 78:1–8 — menceritakan perbuatan TUHAN kepada angkatan yang kemudian</w:t>
      </w:r>
    </w:p>
    <w:p>
      <w:pPr>
        <w:pStyle w:val="ListBullet"/>
        <w:spacing w:after="60"/>
      </w:pPr>
      <w:r>
        <w:t>Ams 1:8; 6:20 — didikan ayah dan ajaran ibu</w:t>
      </w:r>
    </w:p>
    <w:p>
      <w:pPr>
        <w:pStyle w:val="ListBullet"/>
        <w:spacing w:after="60"/>
      </w:pPr>
      <w:r>
        <w:t>Ams 22:6 — mendidik anak menurut jalan yang patut baginya</w:t>
      </w:r>
    </w:p>
    <w:p>
      <w:r>
        <w:rPr>
          <w:b/>
        </w:rPr>
        <w:t>Perjanjian Baru</w:t>
      </w:r>
    </w:p>
    <w:p>
      <w:pPr>
        <w:pStyle w:val="ListBullet"/>
        <w:spacing w:after="60"/>
      </w:pPr>
      <w:r>
        <w:t>Mat 22:37–38 — Yesus menyebut Ul 6:5 sebagai hukum yang terutama</w:t>
      </w:r>
    </w:p>
    <w:p>
      <w:pPr>
        <w:pStyle w:val="ListBullet"/>
        <w:spacing w:after="60"/>
      </w:pPr>
      <w:r>
        <w:t>Mrk 12:29–30 — Yesus mengutip Shema secara utuh, termasuk ayat 4</w:t>
      </w:r>
    </w:p>
    <w:p>
      <w:pPr>
        <w:pStyle w:val="ListBullet"/>
        <w:spacing w:after="60"/>
      </w:pPr>
      <w:r>
        <w:t>Ef 6:4 — "didiklah mereka di dalam ajaran dan nasihat Tuhan"</w:t>
      </w:r>
    </w:p>
    <w:p>
      <w:pPr>
        <w:pStyle w:val="ListBullet"/>
        <w:spacing w:after="60"/>
      </w:pPr>
      <w:r>
        <w:t>2Tim 1:5 — iman yang hidup lebih dahulu dalam nenek Lois dan ibu Eunike</w:t>
      </w:r>
    </w:p>
    <w:p>
      <w:pPr>
        <w:pStyle w:val="ListBullet"/>
        <w:spacing w:after="60"/>
      </w:pPr>
      <w:r>
        <w:t>2Tim 3:14–15 — "dari kecil engkau sudah mengenal Kitab Suci"</w:t>
      </w:r>
    </w:p>
    <w:p>
      <w:r>
        <w:rPr>
          <w:b/>
        </w:rPr>
        <w:t>Catatan</w:t>
      </w:r>
    </w:p>
    <w:p>
      <w:r>
        <w:t>Kutipan Alkitab memakai Alkitab Terjemahan Baru (LAI). Penjelasan kata Ibrani disusun dari pemahaman umum dalam tafsiran Ulangan; untuk pendalaman lebih jauh, bandingkan dengan tafsiran cetak yang Anda percayai.</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Calibri" w:hAnsi="Calibri"/>
      <w:b/>
      <w:bCs/>
      <w:color w:val="1F3A5F"/>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color w:val="1F3A5F"/>
      <w:sz w:val="30"/>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Theme="majorHAnsi" w:eastAsiaTheme="majorEastAsia" w:hAnsiTheme="majorHAnsi" w:cstheme="majorBidi" w:ascii="Calibri" w:hAnsi="Calibri"/>
      <w:b/>
      <w:bCs/>
      <w:color w:val="1F3A5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